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89957" w14:textId="77777777" w:rsidR="00D42601" w:rsidRDefault="00D42601" w:rsidP="00D42601">
      <w:pPr>
        <w:spacing w:after="0" w:line="240" w:lineRule="auto"/>
        <w:rPr>
          <w:rFonts w:ascii="Arial" w:eastAsia="Aptos" w:hAnsi="Arial" w:cs="Arial"/>
          <w:b/>
          <w:bCs/>
          <w:color w:val="000000"/>
          <w:kern w:val="0"/>
          <w:lang w:eastAsia="en-GB"/>
          <w14:ligatures w14:val="none"/>
        </w:rPr>
      </w:pPr>
    </w:p>
    <w:p w14:paraId="5C2EE8BA" w14:textId="77777777" w:rsidR="00D42601" w:rsidRDefault="00D42601" w:rsidP="00D42601">
      <w:pPr>
        <w:spacing w:after="0" w:line="240" w:lineRule="auto"/>
        <w:rPr>
          <w:rFonts w:ascii="Arial" w:eastAsia="Aptos" w:hAnsi="Arial" w:cs="Arial"/>
          <w:b/>
          <w:bCs/>
          <w:color w:val="000000"/>
          <w:kern w:val="0"/>
          <w:lang w:eastAsia="en-GB"/>
          <w14:ligatures w14:val="none"/>
        </w:rPr>
      </w:pPr>
    </w:p>
    <w:p w14:paraId="21CCC48A" w14:textId="6FF7C24D" w:rsidR="00D42601" w:rsidRDefault="00D42601" w:rsidP="00D42601">
      <w:pPr>
        <w:spacing w:after="0" w:line="240" w:lineRule="auto"/>
        <w:rPr>
          <w:rFonts w:ascii="Arial" w:eastAsia="Aptos" w:hAnsi="Arial" w:cs="Arial"/>
          <w:b/>
          <w:bCs/>
          <w:color w:val="000000"/>
          <w:kern w:val="0"/>
          <w:lang w:eastAsia="en-GB"/>
          <w14:ligatures w14:val="none"/>
        </w:rPr>
      </w:pPr>
      <w:r w:rsidRPr="00D42601">
        <w:rPr>
          <w:rFonts w:ascii="Aptos" w:eastAsia="Times New Roman" w:hAnsi="Aptos" w:cs="Times New Roman"/>
          <w:noProof/>
        </w:rPr>
        <w:drawing>
          <wp:inline distT="0" distB="0" distL="0" distR="0" wp14:anchorId="0EE5E71B" wp14:editId="28B942E5">
            <wp:extent cx="1339850" cy="1506497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025" cy="153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7BC3D" w14:textId="0EA3179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b/>
          <w:bCs/>
          <w:color w:val="000000"/>
          <w:kern w:val="0"/>
          <w:lang w:eastAsia="en-GB"/>
          <w14:ligatures w14:val="none"/>
        </w:rPr>
        <w:t xml:space="preserve">Tree Report </w:t>
      </w:r>
      <w:r w:rsidRPr="00D42601">
        <w:rPr>
          <w:rFonts w:ascii="Arial" w:eastAsia="Aptos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- </w:t>
      </w:r>
      <w:r w:rsidRPr="00D42601">
        <w:rPr>
          <w:rFonts w:ascii="Arial" w:eastAsia="Aptos" w:hAnsi="Arial" w:cs="Arial"/>
          <w:b/>
          <w:bCs/>
          <w:color w:val="000000"/>
          <w:kern w:val="0"/>
          <w:lang w:eastAsia="en-GB"/>
          <w14:ligatures w14:val="none"/>
        </w:rPr>
        <w:t>David Thornber Arboricultural Consultant.       </w:t>
      </w:r>
    </w:p>
    <w:p w14:paraId="234D4DF9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--------------------------------------------------------------------------------------------------------------</w:t>
      </w:r>
    </w:p>
    <w:p w14:paraId="67B50CD1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Prepared for Kevin Newsham. Clark to Rufford Parish Council </w:t>
      </w:r>
    </w:p>
    <w:p w14:paraId="27B99315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 </w:t>
      </w:r>
    </w:p>
    <w:p w14:paraId="154C485A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Location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. Rufford Recreation Ground, Flash Lane, Rufford. </w:t>
      </w:r>
      <w:r w:rsidRPr="00D42601">
        <w:rPr>
          <w:rFonts w:ascii="Aptos" w:eastAsia="Aptos" w:hAnsi="Aptos" w:cs="Aptos"/>
          <w:kern w:val="0"/>
          <w:lang w:eastAsia="en-GB"/>
          <w14:ligatures w14:val="none"/>
        </w:rPr>
        <w:t>And Scout field A59. </w:t>
      </w:r>
    </w:p>
    <w:p w14:paraId="2A804F42" w14:textId="77777777" w:rsidR="00D42601" w:rsidRPr="00D42601" w:rsidRDefault="00D42601" w:rsidP="00D42601">
      <w:pPr>
        <w:spacing w:before="240" w:after="60" w:line="240" w:lineRule="auto"/>
        <w:outlineLvl w:val="0"/>
        <w:rPr>
          <w:rFonts w:ascii="Aptos" w:eastAsia="Times New Roman" w:hAnsi="Aptos" w:cs="Aptos"/>
          <w:b/>
          <w:bCs/>
          <w:kern w:val="36"/>
          <w:sz w:val="48"/>
          <w:szCs w:val="48"/>
          <w:lang w:eastAsia="en-GB"/>
          <w14:ligatures w14:val="none"/>
        </w:rPr>
      </w:pPr>
      <w:r w:rsidRPr="00D42601">
        <w:rPr>
          <w:rFonts w:ascii="Arial" w:eastAsia="Times New Roman" w:hAnsi="Arial" w:cs="Arial"/>
          <w:color w:val="000000"/>
          <w:kern w:val="36"/>
          <w:lang w:eastAsia="en-GB"/>
          <w14:ligatures w14:val="none"/>
        </w:rPr>
        <w:t>Report date 13th June 2025.</w:t>
      </w:r>
    </w:p>
    <w:p w14:paraId="176D510C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Site Designation.</w:t>
      </w:r>
    </w:p>
    <w:p w14:paraId="57CB0A6E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235C0C55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b/>
          <w:bCs/>
          <w:color w:val="000000"/>
          <w:kern w:val="0"/>
          <w:lang w:eastAsia="en-GB"/>
          <w14:ligatures w14:val="none"/>
        </w:rPr>
        <w:t>Tree Preservation Order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No WLDC 20 2002 W1 Woodland</w:t>
      </w:r>
    </w:p>
    <w:p w14:paraId="1D51E1B6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Details MAINLY TURKEY OAK WITH SOME SYCAMORE AND ASH.</w:t>
      </w:r>
    </w:p>
    <w:p w14:paraId="694CCBDF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4236122A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b/>
          <w:bCs/>
          <w:color w:val="000000"/>
          <w:kern w:val="0"/>
          <w:lang w:eastAsia="en-GB"/>
          <w14:ligatures w14:val="none"/>
        </w:rPr>
        <w:t>Rufford Park Conservation Area.</w:t>
      </w:r>
    </w:p>
    <w:p w14:paraId="2F639B2B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1B448628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Terms of reference.</w:t>
      </w:r>
    </w:p>
    <w:p w14:paraId="2EDB7596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343AD927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A tree survey has been undertaken in June </w:t>
      </w: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2025  and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carried out in the interests of health and safety and to meet the requirements of Occupiers Liability Acts 1957 and 1984 </w:t>
      </w:r>
    </w:p>
    <w:p w14:paraId="50A988F4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The survey undertaken by visual assessment from ground level, with the use of a sounding hammer to undertake sounding tests where required.</w:t>
      </w:r>
    </w:p>
    <w:p w14:paraId="12F7E60A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4B40C89A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The following data and recommendations should be read in conjunction with the 2016 survey data. The tree numbers in this survey correspond with the 2016 survey.  </w:t>
      </w:r>
    </w:p>
    <w:p w14:paraId="0F5C93EA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</w:p>
    <w:p w14:paraId="6DA334EC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Tree Councils information and guide to managing Ash die-back disease </w:t>
      </w:r>
      <w:r w:rsidRPr="00D42601">
        <w:rPr>
          <w:rFonts w:ascii="Arial" w:eastAsia="Aptos" w:hAnsi="Arial" w:cs="Arial"/>
          <w:i/>
          <w:iCs/>
          <w:color w:val="000000"/>
          <w:kern w:val="0"/>
          <w:lang w:eastAsia="en-GB"/>
          <w14:ligatures w14:val="none"/>
        </w:rPr>
        <w:t>(</w:t>
      </w:r>
      <w:proofErr w:type="spellStart"/>
      <w:r w:rsidRPr="00D42601">
        <w:rPr>
          <w:rFonts w:ascii="Helvetica" w:eastAsia="Aptos" w:hAnsi="Helvetica" w:cs="Helvetica"/>
          <w:i/>
          <w:iCs/>
          <w:color w:val="3B3630"/>
          <w:kern w:val="0"/>
          <w:lang w:eastAsia="en-GB"/>
          <w14:ligatures w14:val="none"/>
        </w:rPr>
        <w:t>Hymenoscyphus</w:t>
      </w:r>
      <w:proofErr w:type="spellEnd"/>
      <w:r w:rsidRPr="00D42601">
        <w:rPr>
          <w:rFonts w:ascii="Helvetica" w:eastAsia="Aptos" w:hAnsi="Helvetica" w:cs="Helvetica"/>
          <w:i/>
          <w:iCs/>
          <w:color w:val="3B3630"/>
          <w:kern w:val="0"/>
          <w:lang w:eastAsia="en-GB"/>
          <w14:ligatures w14:val="none"/>
        </w:rPr>
        <w:t> </w:t>
      </w:r>
      <w:proofErr w:type="spellStart"/>
      <w:proofErr w:type="gramStart"/>
      <w:r w:rsidRPr="00D42601">
        <w:rPr>
          <w:rFonts w:ascii="Helvetica" w:eastAsia="Aptos" w:hAnsi="Helvetica" w:cs="Helvetica"/>
          <w:i/>
          <w:iCs/>
          <w:color w:val="3B3630"/>
          <w:kern w:val="0"/>
          <w:lang w:eastAsia="en-GB"/>
          <w14:ligatures w14:val="none"/>
        </w:rPr>
        <w:t>fraxineus</w:t>
      </w:r>
      <w:proofErr w:type="spellEnd"/>
      <w:r w:rsidRPr="00D42601">
        <w:rPr>
          <w:rFonts w:ascii="Helvetica" w:eastAsia="Aptos" w:hAnsi="Helvetica" w:cs="Helvetica"/>
          <w:i/>
          <w:iCs/>
          <w:color w:val="3B3630"/>
          <w:kern w:val="0"/>
          <w:lang w:eastAsia="en-GB"/>
          <w14:ligatures w14:val="none"/>
        </w:rPr>
        <w:t>)  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Has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been referenced and the degree of infection is recorded using their assessment and classification. </w:t>
      </w:r>
    </w:p>
    <w:p w14:paraId="2932356D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</w:p>
    <w:p w14:paraId="06385B76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Trees re-inspected are numbers as the previous 2016 survey with additional numbers T27 to T34. </w:t>
      </w:r>
    </w:p>
    <w:p w14:paraId="3B196E92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</w:p>
    <w:p w14:paraId="59B3B36D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Trees numbered T27 to T34 have been spray (with an organic dye) marked with a blue number. </w:t>
      </w:r>
    </w:p>
    <w:p w14:paraId="5DF73503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6FB99AD0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T18. Oak.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(behind the village Hall</w:t>
      </w: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) .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  No change in condition. Has minor dead wood over the A59.  </w:t>
      </w:r>
    </w:p>
    <w:p w14:paraId="3E751EE4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Remove dead wood. </w:t>
      </w:r>
    </w:p>
    <w:p w14:paraId="2E2ED816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562493DD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T20 Sycamore. 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has been reported on separately with a recent report. Consider work options for safety.</w:t>
      </w:r>
    </w:p>
    <w:p w14:paraId="54497740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2170B6A8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T5. Ash.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T32. Ash a large mature tree.  infected with early signs of Ash die-back disease. </w:t>
      </w:r>
    </w:p>
    <w:p w14:paraId="7C1C0DCA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CLASS 2 75%–51% of the crown remains.</w:t>
      </w:r>
    </w:p>
    <w:p w14:paraId="5B49F884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 Monitor and reinspect annually. </w:t>
      </w:r>
    </w:p>
    <w:p w14:paraId="3FCFBCCA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1F8A6D3F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T6 Sycamore.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Previously recommended for removal in the 2016 survey. The tree has deteriorated significantly with more than 50</w:t>
      </w: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%  die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-back.</w:t>
      </w:r>
    </w:p>
    <w:p w14:paraId="1C8DD7E4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Remove as a priority in the next few months.</w:t>
      </w:r>
    </w:p>
    <w:p w14:paraId="089FFCAE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7CAD512F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T11. Turkey Oak.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Twin </w:t>
      </w: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stemmed ,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situated near neighbouring bungalow, 'Parkside' Health canopy, with good vitality and moderate vigour. </w:t>
      </w:r>
    </w:p>
    <w:p w14:paraId="20107E33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Old wounds noted at approx. 8 metres. A resident of Parkside reports concerns about possible decay at the wound, which was previously reported by a tree contractor who worked on the tree.  </w:t>
      </w:r>
    </w:p>
    <w:p w14:paraId="33C62366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No structural concerns were visible from ground level. </w:t>
      </w:r>
    </w:p>
    <w:p w14:paraId="5348D4B9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A climbing inspection of the wound area at 8 meters is recommended to determine if there is a prospect of failure.</w:t>
      </w:r>
    </w:p>
    <w:p w14:paraId="2C15A0CA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54C62838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T13. Oak.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</w:t>
      </w: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near(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adj to pedestrian entrance gate to flash lane). Previous works </w:t>
      </w: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recommended  are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outstanding. Refer to 2016 survey data. </w:t>
      </w:r>
    </w:p>
    <w:p w14:paraId="5101C715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Remove dead wood over the gate, entrance area, as soon as possible. </w:t>
      </w:r>
    </w:p>
    <w:p w14:paraId="4C3F4932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32E7D177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T27. Turkey Oak.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(adjacent to multi-stemmed Sycamore). Heavily suppressed. Some dysfunction due to localised areas of decay on the trunk and base. Several old pruning wounds. </w:t>
      </w:r>
    </w:p>
    <w:p w14:paraId="025B94F5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Consider weight reduction with pruning to reduce crown which extends over the garden of Ivy Cottage. Monitor with inspections bi-annually. </w:t>
      </w:r>
    </w:p>
    <w:p w14:paraId="0E6E1C80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31481566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T28. Beech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. a mature tree with notable amounts of dead wood some of which overhangs an informal path which is used to gain access to land off site. </w:t>
      </w:r>
    </w:p>
    <w:p w14:paraId="3569ABB1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Remove dead wood. </w:t>
      </w:r>
    </w:p>
    <w:p w14:paraId="31EC83A3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5982D1FD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T29. Oak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(situated close to woodland path). </w:t>
      </w:r>
    </w:p>
    <w:p w14:paraId="0ABEC595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Remove dead wood.</w:t>
      </w:r>
    </w:p>
    <w:p w14:paraId="53AEA378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6DC2113A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T30 Oak.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situated close to the woodland path, remove dead wood. </w:t>
      </w:r>
    </w:p>
    <w:p w14:paraId="491BC7B8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49C9BC2E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T31. (in the vicinity of a Cherry). A small collapsed tree, hung-</w:t>
      </w: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up  over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a secondary woodland path. </w:t>
      </w:r>
    </w:p>
    <w:p w14:paraId="5B44FE7C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Remove collapsed tree. </w:t>
      </w:r>
    </w:p>
    <w:p w14:paraId="00E3C9B8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 </w:t>
      </w:r>
    </w:p>
    <w:p w14:paraId="3DBE562F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 xml:space="preserve"> T32. Ash 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a large mature tree. (adjacent to the A59).  infected with early signs of Ash die-back disease See Tree Councils information and guide to managing Ash die-back disease </w:t>
      </w:r>
    </w:p>
    <w:p w14:paraId="49FD27B6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CLASS 1.     100%–76% of the crown </w:t>
      </w: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remains .</w:t>
      </w:r>
      <w:proofErr w:type="gramEnd"/>
    </w:p>
    <w:p w14:paraId="0FE93FDF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lastRenderedPageBreak/>
        <w:t>Monitor and reinspect annually. </w:t>
      </w:r>
    </w:p>
    <w:p w14:paraId="0243FDD2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056D106C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T33. Ash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. as T32. </w:t>
      </w:r>
    </w:p>
    <w:p w14:paraId="441BBC61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Monitor and reinspect annually. </w:t>
      </w:r>
    </w:p>
    <w:p w14:paraId="7716A819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3B3BB3F4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T34. Turkey Oak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. (situated adjacent to the recreation entrance at </w:t>
      </w: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Flash lane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) Tree substantially overhangs flash Lane and has sustained recent limb failure. </w:t>
      </w:r>
    </w:p>
    <w:p w14:paraId="7C736EA1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A large, long extended bough extends over flash lane arising from the trunk at approx. 7 metres.  The upper part of the bough where it bows is showing signs of tension reaction on the upper side.</w:t>
      </w:r>
    </w:p>
    <w:p w14:paraId="73681244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br/>
      </w:r>
    </w:p>
    <w:p w14:paraId="7A91BD99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Another bough situated above the bough referred to previously, also extends to the park opposite Flash Lane.  </w:t>
      </w:r>
    </w:p>
    <w:p w14:paraId="4423A35F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This appears to be a potential failure point.  </w:t>
      </w:r>
    </w:p>
    <w:p w14:paraId="263F590B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br/>
      </w:r>
    </w:p>
    <w:p w14:paraId="6747B331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b/>
          <w:bCs/>
          <w:color w:val="000000"/>
          <w:kern w:val="0"/>
          <w:lang w:eastAsia="en-GB"/>
          <w14:ligatures w14:val="none"/>
        </w:rPr>
        <w:t>Recommended works.</w:t>
      </w: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  </w:t>
      </w:r>
      <w:r w:rsidRPr="00D42601">
        <w:rPr>
          <w:rFonts w:ascii="Aptos" w:eastAsia="Aptos" w:hAnsi="Aptos" w:cs="Aptos"/>
          <w:kern w:val="0"/>
          <w:lang w:eastAsia="en-GB"/>
          <w14:ligatures w14:val="none"/>
        </w:rPr>
        <w:t>To avoid further potential branch failure thinning secondary branches to reduce end weight and 'sail 'effect of the two boughs. Also. boughs in the upper crown should be check with a climbing inspection and a light, thinning of secondary branches may be prudent.    </w:t>
      </w:r>
    </w:p>
    <w:p w14:paraId="44B2417B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</w:p>
    <w:p w14:paraId="0586EDFE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u w:val="single"/>
          <w:lang w:eastAsia="en-GB"/>
          <w14:ligatures w14:val="none"/>
        </w:rPr>
        <w:t>Scout field</w:t>
      </w:r>
    </w:p>
    <w:p w14:paraId="2464E8BD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I have referred to my previous survey of the site and no notable changes were observed with the exception of T1 Ash. </w:t>
      </w:r>
    </w:p>
    <w:p w14:paraId="4E416EBB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T1Ash has developed some dead wood due to Ash die-back disease. CLASS 2 75%–51% of the crown remains.</w:t>
      </w:r>
    </w:p>
    <w:p w14:paraId="3F41CE21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</w:p>
    <w:p w14:paraId="5A8DABCB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</w:p>
    <w:p w14:paraId="0804627E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In places there is dense tree cover which could potentially benefit form thinning as previous discussed in the 2016 survey report </w:t>
      </w:r>
    </w:p>
    <w:p w14:paraId="2B4323C9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br/>
      </w:r>
    </w:p>
    <w:p w14:paraId="49C0AFB5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Discussion, observations.</w:t>
      </w:r>
    </w:p>
    <w:p w14:paraId="00219CDB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  <w:r w:rsidRPr="00D42601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The following matters are highlighted.</w:t>
      </w:r>
    </w:p>
    <w:p w14:paraId="248B38D4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0C0FEA7F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No urgent works were identified but I would recommend the removal of a large dead branch that overhangs the informal path in T14 as a matter of priority.</w:t>
      </w:r>
    </w:p>
    <w:p w14:paraId="59A3C4F4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br/>
      </w:r>
    </w:p>
    <w:p w14:paraId="7AC7B508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The Ash trees referred to should be monitored for potential decline due to Ash die-back disease. </w:t>
      </w:r>
    </w:p>
    <w:p w14:paraId="5A78DF6D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br/>
      </w:r>
    </w:p>
    <w:p w14:paraId="6A204B9C" w14:textId="6F96B68B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  <w:r w:rsidRPr="00D42601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The arisings from the recommended works can be stacked to create habit piles in the interests of biodiversity and wildlife.  </w:t>
      </w:r>
    </w:p>
    <w:p w14:paraId="740198E7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</w:p>
    <w:p w14:paraId="7C53D212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A common law duty of care and with regard to safety,</w:t>
      </w:r>
      <w:r w:rsidRPr="00D42601">
        <w:rPr>
          <w:rFonts w:ascii="Times New Roman" w:eastAsia="Aptos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D42601">
        <w:rPr>
          <w:rFonts w:ascii="Aptos" w:eastAsia="Aptos" w:hAnsi="Aptos" w:cs="Aptos"/>
          <w:kern w:val="0"/>
          <w:lang w:eastAsia="en-GB"/>
          <w14:ligatures w14:val="none"/>
        </w:rPr>
        <w:t>which includes a common duty of care towards neighbouring properties.</w:t>
      </w:r>
    </w:p>
    <w:p w14:paraId="36AEFBFE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72061810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proofErr w:type="gramStart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Also</w:t>
      </w:r>
      <w:proofErr w:type="gramEnd"/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 xml:space="preserve"> the Occupiers Liability Acts 1957 and1984 require owners to maintain land to an acceptable level of safety.</w:t>
      </w:r>
    </w:p>
    <w:p w14:paraId="6ED60104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ptos" w:eastAsia="Times New Roman" w:hAnsi="Aptos" w:cs="Aptos"/>
          <w:kern w:val="0"/>
          <w:lang w:eastAsia="en-GB"/>
          <w14:ligatures w14:val="none"/>
        </w:rPr>
        <w:br/>
      </w:r>
      <w:r w:rsidRPr="00D42601">
        <w:rPr>
          <w:rFonts w:ascii="Aptos" w:eastAsia="Times New Roman" w:hAnsi="Aptos" w:cs="Aptos"/>
          <w:kern w:val="0"/>
          <w:u w:val="single"/>
          <w:lang w:eastAsia="en-GB"/>
          <w14:ligatures w14:val="none"/>
        </w:rPr>
        <w:t>Publications referenced.</w:t>
      </w:r>
      <w:r w:rsidRPr="00D42601">
        <w:rPr>
          <w:rFonts w:ascii="Aptos" w:eastAsia="Times New Roman" w:hAnsi="Aptos" w:cs="Aptos"/>
          <w:kern w:val="0"/>
          <w:lang w:eastAsia="en-GB"/>
          <w14:ligatures w14:val="none"/>
        </w:rPr>
        <w:br/>
        <w:t>The Body Language of Trees. A handbook for failure Analysis.</w:t>
      </w:r>
      <w:r w:rsidRPr="00D42601">
        <w:rPr>
          <w:rFonts w:ascii="Aptos" w:eastAsia="Times New Roman" w:hAnsi="Aptos" w:cs="Aptos"/>
          <w:kern w:val="0"/>
          <w:lang w:eastAsia="en-GB"/>
          <w14:ligatures w14:val="none"/>
        </w:rPr>
        <w:br/>
        <w:t>Claus Matthheck and Helge Breloer.</w:t>
      </w:r>
    </w:p>
    <w:p w14:paraId="22F1E32D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</w:pPr>
      <w:r w:rsidRPr="00D42601">
        <w:rPr>
          <w:rFonts w:ascii="Aptos" w:eastAsia="Times New Roman" w:hAnsi="Aptos" w:cs="Aptos"/>
          <w:kern w:val="0"/>
          <w:lang w:eastAsia="en-GB"/>
          <w14:ligatures w14:val="none"/>
        </w:rPr>
        <w:br/>
      </w:r>
      <w:r w:rsidRPr="00D42601">
        <w:rPr>
          <w:rFonts w:ascii="Aptos" w:eastAsia="Times New Roman" w:hAnsi="Aptos" w:cs="Aptos"/>
          <w:kern w:val="0"/>
          <w:u w:val="single"/>
          <w:lang w:eastAsia="en-GB"/>
          <w14:ligatures w14:val="none"/>
        </w:rPr>
        <w:t>Limitations of the Survey/Report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All tree surveys are undertaken from ground level and trees are not climbed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as part of the inspection. No internal examination of the trees was undertaken.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At no time has the issue of subsidence been considered as part of this report.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Comments on the condition and safety of any tree relate to the condition of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the tree at the time of inspection. This appraisal is limited to a 2-year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inspection period, if more frequent tree specific inspection is required it will be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stated in the recommendations. Trees are living growing things that cannot be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guaranteed safe.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Unless otherwise specified, no checks have been conducted in respect of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statutory controls that may apply, e.g. Tree Preservation Orders, Conservation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Areas or planning conditions. In addition, prior to undertaking any tree works,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it is necessary to ensure due diligence is followed in respect of protected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species and habitats, and identifying any permissions required.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</w:r>
      <w:r w:rsidRPr="00D42601">
        <w:rPr>
          <w:rFonts w:ascii="Aptos" w:eastAsia="Times New Roman" w:hAnsi="Aptos" w:cs="Aptos"/>
          <w:kern w:val="0"/>
          <w:sz w:val="20"/>
          <w:szCs w:val="20"/>
          <w:u w:val="single"/>
          <w:lang w:eastAsia="en-GB"/>
          <w14:ligatures w14:val="none"/>
        </w:rPr>
        <w:t>Third Party Disclaimer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Any disclosure of this report to a third party is subject to this disclaimer. The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report was prepared by David Thornber at the instruction of Kevin Newsham, and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for the use by, the clients named within the report. This report does not in any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way constitute advice to any third party who is able to access it by any means.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David Thornber Arboricultural Consultant, fully excludes lawfully permitted, all liability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whatsoever, for any loss or damage arising from reliance on the content of</w:t>
      </w: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br/>
        <w:t>this report.</w:t>
      </w:r>
    </w:p>
    <w:p w14:paraId="34A4FE67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</w:pPr>
    </w:p>
    <w:p w14:paraId="38C09314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</w:pPr>
      <w:r w:rsidRPr="00D42601">
        <w:rPr>
          <w:rFonts w:ascii="Aptos" w:eastAsia="Times New Roman" w:hAnsi="Aptos" w:cs="Aptos"/>
          <w:kern w:val="0"/>
          <w:sz w:val="20"/>
          <w:szCs w:val="20"/>
          <w:lang w:eastAsia="en-GB"/>
          <w14:ligatures w14:val="none"/>
        </w:rPr>
        <w:t>David Thornber, Arboricultural Consultant, is insured for public liability and professional indemnity. </w:t>
      </w:r>
    </w:p>
    <w:p w14:paraId="4ED7420D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 </w:t>
      </w:r>
    </w:p>
    <w:p w14:paraId="330DDA1E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David Thornber</w:t>
      </w:r>
    </w:p>
    <w:p w14:paraId="3575923B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000000"/>
          <w:kern w:val="0"/>
          <w:lang w:eastAsia="en-GB"/>
          <w14:ligatures w14:val="none"/>
        </w:rPr>
        <w:t>Arboricultural Consultant. </w:t>
      </w:r>
    </w:p>
    <w:p w14:paraId="7A77B965" w14:textId="77777777" w:rsidR="00D42601" w:rsidRPr="00D42601" w:rsidRDefault="00D42601" w:rsidP="00D42601">
      <w:pPr>
        <w:spacing w:after="0" w:line="240" w:lineRule="auto"/>
        <w:rPr>
          <w:rFonts w:ascii="Aptos" w:eastAsia="Aptos" w:hAnsi="Aptos" w:cs="Aptos"/>
          <w:kern w:val="0"/>
          <w:lang w:eastAsia="en-GB"/>
          <w14:ligatures w14:val="none"/>
        </w:rPr>
      </w:pPr>
      <w:r w:rsidRPr="00D42601">
        <w:rPr>
          <w:rFonts w:ascii="Arial" w:eastAsia="Aptos" w:hAnsi="Arial" w:cs="Arial"/>
          <w:color w:val="222222"/>
          <w:kern w:val="0"/>
          <w:lang w:eastAsia="en-GB"/>
          <w14:ligatures w14:val="none"/>
        </w:rPr>
        <w:t>NDH. Tech Cert (</w:t>
      </w:r>
      <w:proofErr w:type="spellStart"/>
      <w:r w:rsidRPr="00D42601">
        <w:rPr>
          <w:rFonts w:ascii="Arial" w:eastAsia="Aptos" w:hAnsi="Arial" w:cs="Arial"/>
          <w:color w:val="222222"/>
          <w:kern w:val="0"/>
          <w:lang w:eastAsia="en-GB"/>
          <w14:ligatures w14:val="none"/>
        </w:rPr>
        <w:t>Arbo.A</w:t>
      </w:r>
      <w:proofErr w:type="spellEnd"/>
      <w:r w:rsidRPr="00D42601">
        <w:rPr>
          <w:rFonts w:ascii="Arial" w:eastAsia="Aptos" w:hAnsi="Arial" w:cs="Arial"/>
          <w:color w:val="222222"/>
          <w:kern w:val="0"/>
          <w:lang w:eastAsia="en-GB"/>
          <w14:ligatures w14:val="none"/>
        </w:rPr>
        <w:t>). ILAM Cert. LCGI</w:t>
      </w:r>
    </w:p>
    <w:p w14:paraId="5E106155" w14:textId="77777777" w:rsidR="00D42601" w:rsidRPr="00D42601" w:rsidRDefault="00D42601" w:rsidP="00D42601">
      <w:pPr>
        <w:spacing w:after="0" w:line="240" w:lineRule="auto"/>
        <w:rPr>
          <w:rFonts w:ascii="Aptos" w:eastAsia="Times New Roman" w:hAnsi="Aptos" w:cs="Aptos"/>
          <w:kern w:val="0"/>
          <w:lang w:eastAsia="en-GB"/>
          <w14:ligatures w14:val="none"/>
        </w:rPr>
      </w:pPr>
    </w:p>
    <w:p w14:paraId="67FAE264" w14:textId="77777777" w:rsidR="004047B8" w:rsidRDefault="004047B8"/>
    <w:sectPr w:rsidR="004047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BC9D5" w14:textId="77777777" w:rsidR="006A799A" w:rsidRDefault="006A799A" w:rsidP="00D42601">
      <w:pPr>
        <w:spacing w:after="0" w:line="240" w:lineRule="auto"/>
      </w:pPr>
      <w:r>
        <w:separator/>
      </w:r>
    </w:p>
  </w:endnote>
  <w:endnote w:type="continuationSeparator" w:id="0">
    <w:p w14:paraId="28B103BB" w14:textId="77777777" w:rsidR="006A799A" w:rsidRDefault="006A799A" w:rsidP="00D4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CD5BE" w14:textId="77777777" w:rsidR="006A799A" w:rsidRDefault="006A799A" w:rsidP="00D42601">
      <w:pPr>
        <w:spacing w:after="0" w:line="240" w:lineRule="auto"/>
      </w:pPr>
      <w:r>
        <w:separator/>
      </w:r>
    </w:p>
  </w:footnote>
  <w:footnote w:type="continuationSeparator" w:id="0">
    <w:p w14:paraId="6A458C47" w14:textId="77777777" w:rsidR="006A799A" w:rsidRDefault="006A799A" w:rsidP="00D426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601"/>
    <w:rsid w:val="00240F08"/>
    <w:rsid w:val="004047B8"/>
    <w:rsid w:val="004B4175"/>
    <w:rsid w:val="004C2F58"/>
    <w:rsid w:val="006A799A"/>
    <w:rsid w:val="00AE295E"/>
    <w:rsid w:val="00D2159C"/>
    <w:rsid w:val="00D4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65EAD"/>
  <w15:chartTrackingRefBased/>
  <w15:docId w15:val="{D76E4F65-0E91-4506-925A-5170F357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6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6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2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601"/>
  </w:style>
  <w:style w:type="paragraph" w:styleId="Footer">
    <w:name w:val="footer"/>
    <w:basedOn w:val="Normal"/>
    <w:link w:val="FooterChar"/>
    <w:uiPriority w:val="99"/>
    <w:unhideWhenUsed/>
    <w:rsid w:val="00D42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i_mbugawh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1103</Words>
  <Characters>6292</Characters>
  <Application>Microsoft Office Word</Application>
  <DocSecurity>0</DocSecurity>
  <Lines>52</Lines>
  <Paragraphs>14</Paragraphs>
  <ScaleCrop>false</ScaleCrop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Thornber</dc:creator>
  <cp:keywords/>
  <dc:description/>
  <cp:lastModifiedBy>Lesley Kerr</cp:lastModifiedBy>
  <cp:revision>2</cp:revision>
  <dcterms:created xsi:type="dcterms:W3CDTF">2026-09-24T10:12:00Z</dcterms:created>
  <dcterms:modified xsi:type="dcterms:W3CDTF">2026-09-24T10:12:00Z</dcterms:modified>
</cp:coreProperties>
</file>